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حكم الخطابي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حكم الخطابي
</w:t>
      </w:r>
    </w:p>
    <w:p>
      <w:pPr/>
      <w:r>
        <w:rPr/>
        <w:t xml:space="preserve">عبد الرحمن بن حكم الخطابي </w:t>
      </w:r>
    </w:p>
    <w:p/>
    <w:p>
      <w:pPr/>
      <w:r>
        <w:rPr/>
        <w:t xml:space="preserve">شاعر منتجع طويل النفس غزير المادة، أنشد له الشريف أبو بكر أحمد بن سليمان المرواني من قصيدة طويلة:</w:t>
      </w:r>
    </w:p>
    <w:p/>
    <w:p>
      <w:pPr>
        <w:jc w:val="center"/>
      </w:pPr>
      <w:r>
        <w:rPr>
          <w:color w:val="ff0000"/>
        </w:rPr>
        <w:t xml:space="preserve">أهلاً بمنعرج اللوى وإن التوى</w:t>
      </w:r>
      <w:r>
        <w:rPr>
          <w:color w:val="ff0000"/>
        </w:rPr>
        <w:t xml:space="preserve">      </w:t>
      </w:r>
      <w:r>
        <w:rPr>
          <w:color w:val="ff0000"/>
        </w:rPr>
        <w:t xml:space="preserve">صبري به وإلتاث في عرصاته</w:t>
      </w:r>
    </w:p>
    <w:p/>
    <w:p>
      <w:pPr>
        <w:jc w:val="center"/>
      </w:pPr>
      <w:r>
        <w:rPr>
          <w:color w:val="ff0000"/>
        </w:rPr>
        <w:t xml:space="preserve">حيث القباب وقد طوين على المها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كالقلب مطوياً على زفراته</w:t>
      </w:r>
    </w:p>
    <w:p/>
    <w:p>
      <w:pPr>
        <w:jc w:val="center"/>
      </w:pPr>
      <w:r>
        <w:rPr>
          <w:color w:val="ff0000"/>
        </w:rPr>
        <w:t xml:space="preserve">والمقربات وقد جنبن إلى الوغى</w:t>
      </w:r>
      <w:r>
        <w:rPr>
          <w:color w:val="ff0000"/>
        </w:rPr>
        <w:t xml:space="preserve">      </w:t>
      </w:r>
      <w:r>
        <w:rPr>
          <w:color w:val="ff0000"/>
        </w:rPr>
        <w:t xml:space="preserve">كالصب يجنب طوع محبوباته</w:t>
      </w:r>
    </w:p>
    <w:p/>
    <w:p>
      <w:pPr>
        <w:jc w:val="center"/>
      </w:pPr>
      <w:r>
        <w:rPr>
          <w:color w:val="ff0000"/>
        </w:rPr>
        <w:t xml:space="preserve">فيه الصوار وقد أصار ابن الشرى</w:t>
      </w:r>
      <w:r>
        <w:rPr>
          <w:color w:val="ff0000"/>
        </w:rPr>
        <w:t xml:space="preserve">      </w:t>
      </w:r>
      <w:r>
        <w:rPr>
          <w:color w:val="ff0000"/>
        </w:rPr>
        <w:t xml:space="preserve">مملوك عيناوات إدماناته</w:t>
      </w:r>
    </w:p>
    <w:p/>
    <w:p>
      <w:pPr>
        <w:jc w:val="center"/>
      </w:pPr>
      <w:r>
        <w:rPr>
          <w:color w:val="ff0000"/>
        </w:rPr>
        <w:t xml:space="preserve">عن الكماة فكل ريع ترتعى</w:t>
      </w:r>
      <w:r>
        <w:rPr>
          <w:color w:val="ff0000"/>
        </w:rPr>
        <w:t xml:space="preserve">      </w:t>
      </w:r>
      <w:r>
        <w:rPr>
          <w:color w:val="ff0000"/>
        </w:rPr>
        <w:t xml:space="preserve">ثمر القلوب به مكان نباته</w:t>
      </w:r>
    </w:p>
    <w:p/>
    <w:p>
      <w:pPr>
        <w:jc w:val="center"/>
      </w:pPr>
      <w:r>
        <w:rPr>
          <w:color w:val="ff0000"/>
        </w:rPr>
        <w:t xml:space="preserve">وكبسن في ظلي القنا فكأنما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مشتقة الحركات من حركاته</w:t>
      </w:r>
    </w:p>
    <w:p/>
    <w:p>
      <w:pPr>
        <w:jc w:val="center"/>
      </w:pPr>
      <w:r>
        <w:rPr>
          <w:color w:val="ff0000"/>
        </w:rPr>
        <w:t xml:space="preserve">ونظرن في المرآة روض جمالها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فتنزه المرآة في زهراته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2026-10-03T18:33:02+03:00</dcterms:created>
  <dcterms:modified xsi:type="dcterms:W3CDTF">2026-10-03T18:33:02+03:00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