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عبيد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عبيد أبو محمد
</w:t>
      </w:r>
    </w:p>
    <w:p>
      <w:pPr/>
      <w:r>
        <w:rPr/>
        <w:t xml:space="preserve">عبد الله بن عبيد أبو محمد </w:t>
      </w:r>
    </w:p>
    <w:p/>
    <w:p>
      <w:pPr/>
      <w:r>
        <w:rPr/>
        <w:t xml:space="preserve">شاعر مشهور ينتجع الملوك بمطولات الأشعار فيحسن، فمن شعره في صفة مرقب عال:</w:t>
      </w:r>
    </w:p>
    <w:p/>
    <w:p>
      <w:pPr>
        <w:jc w:val="center"/>
      </w:pPr>
      <w:r>
        <w:rPr>
          <w:color w:val="ff0000"/>
        </w:rPr>
        <w:t xml:space="preserve">ومخترق ثوب العنان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حاجة فيها سما ليومها</w:t>
      </w:r>
    </w:p>
    <w:p/>
    <w:p>
      <w:pPr>
        <w:jc w:val="center"/>
      </w:pPr>
      <w:r>
        <w:rPr>
          <w:color w:val="ff0000"/>
        </w:rPr>
        <w:t xml:space="preserve">فأحسبه ظن المقابل زهرة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فمد إليها أنفه ليشمها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