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إسماعيل بن أحمد الأسلمي، عرف بابن قهرة الشيء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أحمد الأسلمي، عرف بابن قهرة الشيء
</w:t>
      </w:r>
    </w:p>
    <w:p>
      <w:pPr/>
      <w:r>
        <w:rPr/>
        <w:t xml:space="preserve">عبد الله بن إسماعيل بن أحمد الأسلمي، عرف بابن قهرة الشيء </w:t>
      </w:r>
    </w:p>
    <w:p/>
    <w:p>
      <w:pPr>
        <w:jc w:val="center"/>
      </w:pPr>
      <w:r>
        <w:rPr>
          <w:color w:val="ff0000"/>
        </w:rPr>
        <w:t xml:space="preserve">فقيه حسن الخط كان قاضياً بها توفى </w:t>
      </w:r>
      <w:r>
        <w:rPr>
          <w:color w:val="ff0000"/>
        </w:rPr>
        <w:t xml:space="preserve">      </w:t>
      </w:r>
      <w:r>
        <w:rPr>
          <w:color w:val="ff0000"/>
        </w:rPr>
        <w:t xml:space="preserve"> 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2026-08-05T16:29:34+03:00</dcterms:created>
  <dcterms:modified xsi:type="dcterms:W3CDTF">2026-08-05T16:29:34+03:00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