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إسماعيل بن أحمد الأسلمي، عرف بابن قهرة الشيء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أحمد الأسلمي، عرف بابن قهرة الشيء
</w:t>
      </w:r>
    </w:p>
    <w:p>
      <w:pPr/>
      <w:r>
        <w:rPr/>
        <w:t xml:space="preserve">عبد الله بن إسماعيل بن أحمد الأسلمي، عرف بابن قهرة الشيء </w:t>
      </w:r>
    </w:p>
    <w:p/>
    <w:p>
      <w:pPr>
        <w:jc w:val="center"/>
      </w:pPr>
      <w:r>
        <w:rPr>
          <w:color w:val="ff0000"/>
        </w:rPr>
        <w:t xml:space="preserve">فقيه حسن الخط كان قاضياً بها توفى </w:t>
      </w:r>
      <w:r>
        <w:rPr>
          <w:color w:val="ff0000"/>
        </w:rPr>
        <w:t xml:space="preserve">      </w:t>
      </w:r>
      <w:r>
        <w:rPr>
          <w:color w:val="ff0000"/>
        </w:rPr>
        <w:t xml:space="preserve"> 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2026-10-03T20:57:27+03:00</dcterms:created>
  <dcterms:modified xsi:type="dcterms:W3CDTF">2026-10-03T20:57:27+03:00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