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أيوب 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أيوب بن فرج
</w:t>
      </w:r>
    </w:p>
    <w:p>
      <w:pPr/>
      <w:r>
        <w:rPr/>
        <w:t xml:space="preserve">خلف بن أيوب بن فرج </w:t>
      </w:r>
    </w:p>
    <w:p/>
    <w:p>
      <w:pPr/>
      <w:r>
        <w:rPr/>
        <w:t xml:space="preserve">شاعر كان في حدود الخمسين وثلاثمائة أو نحوها ومن مدائحه في سعيد بن المنذر الأموي قوله:</w:t>
      </w:r>
    </w:p>
    <w:p/>
    <w:p>
      <w:pPr>
        <w:jc w:val="center"/>
      </w:pPr>
      <w:r>
        <w:rPr>
          <w:color w:val="ff0000"/>
        </w:rPr>
        <w:t xml:space="preserve">إذا خففت أعلامه خففت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 ذوي الإلحاد تحت الترائب</w:t>
      </w:r>
    </w:p>
    <w:p/>
    <w:p>
      <w:pPr>
        <w:jc w:val="center"/>
      </w:pPr>
      <w:r>
        <w:rPr>
          <w:color w:val="ff0000"/>
        </w:rPr>
        <w:t xml:space="preserve">وإن ناشب الحرب العدا لقي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مناشبه عجلان في حال ناشب</w:t>
      </w:r>
    </w:p>
    <w:p/>
    <w:p>
      <w:pPr>
        <w:jc w:val="center"/>
      </w:pPr>
      <w:r>
        <w:rPr>
          <w:color w:val="ff0000"/>
        </w:rPr>
        <w:t xml:space="preserve">هو البحر لا ملح أجاج مذاقه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ولكنه بحر لذيذ المشارب</w:t>
      </w:r>
    </w:p>
    <w:p/>
    <w:p>
      <w:pPr>
        <w:jc w:val="center"/>
      </w:pPr>
      <w:r>
        <w:rPr>
          <w:color w:val="ff0000"/>
        </w:rPr>
        <w:t xml:space="preserve">إذا ما نبا الهندي أصلت منصلاً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الرأي لا تثنيه فجأة نائب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