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خلف بن أيوب بن فرج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خلف بن أيوب بن فرج
</w:t>
      </w:r>
    </w:p>
    <w:p>
      <w:pPr/>
      <w:r>
        <w:rPr/>
        <w:t xml:space="preserve">خلف بن أيوب بن فرج </w:t>
      </w:r>
    </w:p>
    <w:p/>
    <w:p>
      <w:pPr/>
      <w:r>
        <w:rPr/>
        <w:t xml:space="preserve">شاعر كان في حدود الخمسين وثلاثمائة أو نحوها ومن مدائحه في سعيد بن المنذر الأموي قوله:</w:t>
      </w:r>
    </w:p>
    <w:p/>
    <w:p>
      <w:pPr>
        <w:jc w:val="center"/>
      </w:pPr>
      <w:r>
        <w:rPr>
          <w:color w:val="ff0000"/>
        </w:rPr>
        <w:t xml:space="preserve">إذا خففت أعلامه خففت 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قلوب ذوي الإلحاد تحت الترائب</w:t>
      </w:r>
    </w:p>
    <w:p/>
    <w:p>
      <w:pPr>
        <w:jc w:val="center"/>
      </w:pPr>
      <w:r>
        <w:rPr>
          <w:color w:val="ff0000"/>
        </w:rPr>
        <w:t xml:space="preserve">وإن ناشب الحرب العدا لقي الردى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مناشبه عجلان في حال ناشب</w:t>
      </w:r>
    </w:p>
    <w:p/>
    <w:p>
      <w:pPr>
        <w:jc w:val="center"/>
      </w:pPr>
      <w:r>
        <w:rPr>
          <w:color w:val="ff0000"/>
        </w:rPr>
        <w:t xml:space="preserve">هو البحر لا ملح أجاج مذاقه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ولكنه بحر لذيذ المشارب</w:t>
      </w:r>
    </w:p>
    <w:p/>
    <w:p>
      <w:pPr>
        <w:jc w:val="center"/>
      </w:pPr>
      <w:r>
        <w:rPr>
          <w:color w:val="ff0000"/>
        </w:rPr>
        <w:t xml:space="preserve">إذا ما نبا الهندي أصلت منصلاً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الرأي لا تثنيه فجأة نائب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2026-10-04T00:41:33+03:00</dcterms:created>
  <dcterms:modified xsi:type="dcterms:W3CDTF">2026-10-04T00:41:33+03:00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