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جعفر بن أبي علي إسماعيل القالي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جعفر بن أبي علي إسماعيل القالي
</w:t>
      </w:r>
    </w:p>
    <w:p>
      <w:pPr/>
      <w:r>
        <w:rPr/>
        <w:t xml:space="preserve">جعفر بن أبي علي إسماعيل القالي </w:t>
      </w:r>
    </w:p>
    <w:p/>
    <w:p>
      <w:pPr/>
      <w:r>
        <w:rPr/>
        <w:t xml:space="preserve">أديب شاعر، من شعره في المنصور أبي عامر محمد بن أبي عامر من كلمة طويلة:</w:t>
      </w:r>
    </w:p>
    <w:p/>
    <w:p>
      <w:pPr>
        <w:jc w:val="center"/>
      </w:pPr>
      <w:r>
        <w:rPr>
          <w:color w:val="ff0000"/>
        </w:rPr>
        <w:t xml:space="preserve">كتيبة للشيب جالت تبتغي</w:t>
      </w:r>
      <w:r>
        <w:rPr>
          <w:color w:val="ff0000"/>
        </w:rPr>
        <w:t xml:space="preserve">      </w:t>
      </w:r>
      <w:r>
        <w:rPr>
          <w:color w:val="ff0000"/>
        </w:rPr>
        <w:t xml:space="preserve">قتل الشباب ففر كالمذعور</w:t>
      </w:r>
    </w:p>
    <w:p/>
    <w:p>
      <w:pPr>
        <w:jc w:val="center"/>
      </w:pPr>
      <w:r>
        <w:rPr>
          <w:color w:val="ff0000"/>
        </w:rPr>
        <w:t xml:space="preserve">فكأن هذا جيش كل مثلث</w:t>
      </w:r>
      <w:r>
        <w:rPr>
          <w:color w:val="ff0000"/>
        </w:rPr>
        <w:t xml:space="preserve">      </w:t>
      </w:r>
      <w:r>
        <w:rPr>
          <w:color w:val="ff0000"/>
        </w:rPr>
        <w:t xml:space="preserve">وكأن تلك كتيبة المنصور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2026-08-05T21:23:18+03:00</dcterms:created>
  <dcterms:modified xsi:type="dcterms:W3CDTF">2026-08-05T21:23:18+03:00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