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الأعمى
</w:t>
      </w:r>
    </w:p>
    <w:p>
      <w:pPr/>
      <w:r>
        <w:rPr/>
        <w:t xml:space="preserve">بكر الأعمى </w:t>
      </w:r>
    </w:p>
    <w:p/>
    <w:p>
      <w:pPr/>
      <w:r>
        <w:rPr/>
        <w:t xml:space="preserve">أديب شاعر، ذكر أحمد بن هشام المرواني ولم ينسبه، وقال: إن من شعره في ابن أرقم المؤدب:</w:t>
      </w:r>
    </w:p>
    <w:p/>
    <w:p>
      <w:pPr>
        <w:jc w:val="center"/>
      </w:pPr>
      <w:r>
        <w:rPr>
          <w:color w:val="ff0000"/>
        </w:rPr>
        <w:t xml:space="preserve">قلب الزمان فجاء بالمقلوب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وتظاهرت آيات كل عجيب</w:t>
      </w:r>
    </w:p>
    <w:p/>
    <w:p>
      <w:pPr>
        <w:jc w:val="center"/>
      </w:pPr>
      <w:r>
        <w:rPr>
          <w:color w:val="ff0000"/>
        </w:rPr>
        <w:t xml:space="preserve">لا تيأسن من الوزارة بعد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نال ابن أرقم خطة التأديب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