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أغلب بن شعبيب الجيابي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أغلب بن شعبيب الجيابي
</w:t>
      </w:r>
    </w:p>
    <w:p>
      <w:pPr/>
      <w:r>
        <w:rPr/>
        <w:t xml:space="preserve">أغلب بن شعبيب الجيابي </w:t>
      </w:r>
    </w:p>
    <w:p/>
    <w:p>
      <w:pPr/>
      <w:r>
        <w:rPr/>
        <w:t xml:space="preserve">شاعر مقدم سكن قرطبة، وكان من شعراء عبد الرحمن الناصر ومن بعده، ذكره أبو محمد علي بن أحمد في الشعراء المقدمين ومن شعره:</w:t>
      </w:r>
    </w:p>
    <w:p/>
    <w:p>
      <w:pPr>
        <w:jc w:val="center"/>
      </w:pPr>
      <w:r>
        <w:rPr>
          <w:color w:val="ff0000"/>
        </w:rPr>
        <w:t xml:space="preserve">رب يوم قصدت فيه إلى الله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وحولي جماعة شطار</w:t>
      </w:r>
    </w:p>
    <w:p/>
    <w:p>
      <w:pPr>
        <w:jc w:val="center"/>
      </w:pPr>
      <w:r>
        <w:rPr>
          <w:color w:val="ff0000"/>
        </w:rPr>
        <w:t xml:space="preserve">فنزلنا على بساط من النور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أنيق لم تغن في التجار</w:t>
      </w:r>
    </w:p>
    <w:p/>
    <w:p>
      <w:pPr>
        <w:jc w:val="center"/>
      </w:pPr>
      <w:r>
        <w:rPr>
          <w:color w:val="ff0000"/>
        </w:rPr>
        <w:t xml:space="preserve">روضة كالسماء الوناً لرائيها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نجومها نوار</w:t>
      </w:r>
    </w:p>
    <w:p/>
    <w:p>
      <w:pPr>
        <w:jc w:val="center"/>
      </w:pPr>
      <w:r>
        <w:rPr>
          <w:color w:val="ff0000"/>
        </w:rPr>
        <w:t xml:space="preserve">تزرع اللحظ في زروع وماء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وعروش كأنها الأبكار</w:t>
      </w:r>
    </w:p>
    <w:p/>
    <w:p>
      <w:pPr>
        <w:jc w:val="center"/>
      </w:pPr>
      <w:r>
        <w:rPr>
          <w:color w:val="ff0000"/>
        </w:rPr>
        <w:t xml:space="preserve">فكأن الرياض إذ نحن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جنة الخلد حلها الأبرار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2026-10-04T02:30:07+03:00</dcterms:created>
  <dcterms:modified xsi:type="dcterms:W3CDTF">2026-10-04T02:30:07+03:00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