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يحيى بن مفرج الفنتوري
</w:t>
      </w:r>
    </w:p>
    <w:p>
      <w:pPr>
        <w:jc w:val="start"/>
        <w:bidi/>
      </w:pPr>
      <w:r>
        <w:rPr>
          <w:rFonts w:ascii="arial" w:hAnsi="arial" w:eastAsia="arial" w:cs="arial"/>
          <w:sz w:val="28"/>
          <w:szCs w:val="28"/>
          <w:b w:val="1"/>
          <w:bCs w:val="1"/>
          <w:rtl/>
        </w:rPr>
        <w:t xml:space="preserve">أحمد بن يحيى بن مفرج الفنتوري
</w:t>
      </w:r>
    </w:p>
    <w:p>
      <w:pPr/>
      <w:r>
        <w:rPr/>
        <w:t xml:space="preserve">أحمد بن يحيى بن مفرج الفنتوري </w:t>
      </w:r>
    </w:p>
    <w:p/>
    <w:p>
      <w:pPr/>
      <w:r>
        <w:rPr/>
        <w:t xml:space="preserve">الراوية كان رجلاً صالحاً نبيها معدوداً في الفقهاء والرواة، روى عن محمد بن وضاح، وعبيد الله بن يحيى ونظرائها، ووقع في كتاب ’’تسمية أعيان الموالي بالأندلس’’: أن مفرجاً جدهم كان صاحب الركاب للأمير الحكم بن هشام، وكان الخليفة الحكم بن عبد الرحمن، قد فرق بين اسم مفرج هذا وبين اسم محمد بن مفرج بن حماد الحسين المعافري للإشكال فكان يعرف ابن مفرج مولاه الفنتوري من أجل سكناه من غربي قرطبة قريباً من ’’عين فنت أورية ’’ويعرف المعافري بالقبشي لسكناه أيضاً من تلك الناحية بالقرب من عين قبش.</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2026-10-05T05:22:41+03:00</dcterms:created>
  <dcterms:modified xsi:type="dcterms:W3CDTF">2026-10-05T05:22:41+03:00</dcterms:modified>
</cp:coreProperties>
</file>

<file path=docProps/custom.xml><?xml version="1.0" encoding="utf-8"?>
<Properties xmlns="http://schemas.openxmlformats.org/officeDocument/2006/custom-properties" xmlns:vt="http://schemas.openxmlformats.org/officeDocument/2006/docPropsVTypes"/>
</file>