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هشام بن عبد العزيز بن محمد بن سعيد الخير بن الأمير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هشام بن عبد العزيز بن محمد بن سعيد الخير بن الأمير الحكم
</w:t>
      </w:r>
    </w:p>
    <w:p>
      <w:pPr/>
      <w:r>
        <w:rPr/>
        <w:t xml:space="preserve">أحمد بن هشام بن عبد العزيز بن محمد بن سعيد الخير بن الأمير الحكم </w:t>
      </w:r>
    </w:p>
    <w:p/>
    <w:p>
      <w:pPr/>
      <w:r>
        <w:rPr/>
        <w:t xml:space="preserve">أخو محمد أديب شاعر مشهور، ذكره غير واحد منهم أبو الوليد بن عامر، وأورد له في الورد والنرجس من أبيات وهي:</w:t>
      </w:r>
    </w:p>
    <w:p/>
    <w:p>
      <w:pPr>
        <w:jc w:val="center"/>
      </w:pPr>
      <w:r>
        <w:rPr>
          <w:color w:val="ff0000"/>
        </w:rPr>
        <w:t xml:space="preserve">انظر إلى الروض في جوانبه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أحمره ضاحك وأصفره</w:t>
      </w:r>
    </w:p>
    <w:p/>
    <w:p>
      <w:pPr>
        <w:jc w:val="center"/>
      </w:pPr>
      <w:r>
        <w:rPr>
          <w:color w:val="ff0000"/>
        </w:rPr>
        <w:t xml:space="preserve">إذا هفت فوقه الرياح سرى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بهفوها مسكه وعنبره</w:t>
      </w:r>
    </w:p>
    <w:p/>
    <w:p>
      <w:pPr>
        <w:jc w:val="center"/>
      </w:pPr>
      <w:r>
        <w:rPr>
          <w:color w:val="ff0000"/>
        </w:rPr>
        <w:t xml:space="preserve">نرجسه تستجد صفرته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كأن الحبيب يهجره</w:t>
      </w:r>
    </w:p>
    <w:p/>
    <w:p>
      <w:pPr>
        <w:jc w:val="center"/>
      </w:pPr>
      <w:r>
        <w:rPr>
          <w:color w:val="ff0000"/>
        </w:rPr>
        <w:t xml:space="preserve">والورد يختال في منابته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تطويه أكمامه وتنشره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2026-08-05T17:17:18+03:00</dcterms:created>
  <dcterms:modified xsi:type="dcterms:W3CDTF">2026-08-05T17:17:18+03:00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