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عمر بن ورد التميمي أبو القاسم
</w:t>
      </w:r>
    </w:p>
    <w:p>
      <w:pPr>
        <w:jc w:val="start"/>
        <w:bidi/>
      </w:pPr>
      <w:r>
        <w:rPr>
          <w:rFonts w:ascii="arial" w:hAnsi="arial" w:eastAsia="arial" w:cs="arial"/>
          <w:sz w:val="28"/>
          <w:szCs w:val="28"/>
          <w:b w:val="1"/>
          <w:bCs w:val="1"/>
          <w:rtl/>
        </w:rPr>
        <w:t xml:space="preserve">أحمد بن محمد بن عمر بن ورد التميمي أبو القاسم
</w:t>
      </w:r>
    </w:p>
    <w:p>
      <w:pPr/>
      <w:r>
        <w:rPr/>
        <w:t xml:space="preserve">أحمد بن محمد بن عمر بن ورد التميمي أبو القاسم </w:t>
      </w:r>
    </w:p>
    <w:p/>
    <w:p>
      <w:pPr/>
      <w:r>
        <w:rPr/>
        <w:t xml:space="preserve">فقيه حافظ مشهور محدث ألف في شرح البخاري كتاباً كبيراً ظهر علمه فيه، وكان أوحد زمانه فقهاً وعلماً ومعرفة وفهماً، وذكاء، مولده في جمادى الآخرة عام خمس وستين وأربعمائة، وتوفى في عام أربعين وخمسمائة، يروي عن أبي علي الغساني وأبي علي بن سكرة وغيرهما، روى عنه جماعة من أشياخي، قال لي القاضي أبو القاسم: تكلمنا عنده يوماً في أرى ... بالفتح وأرى بالضم فقال لنا أرى بفتح الهمزة في الرأي المعتقد وبضمها في الظن المنتقد.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2026-08-05T16:08:14+03:00</dcterms:created>
  <dcterms:modified xsi:type="dcterms:W3CDTF">2026-08-05T16:08:14+03:00</dcterms:modified>
</cp:coreProperties>
</file>

<file path=docProps/custom.xml><?xml version="1.0" encoding="utf-8"?>
<Properties xmlns="http://schemas.openxmlformats.org/officeDocument/2006/custom-properties" xmlns:vt="http://schemas.openxmlformats.org/officeDocument/2006/docPropsVTypes"/>
</file>