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العباس المهدوي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العباس المهدوي المقرئ
</w:t>
      </w:r>
    </w:p>
    <w:p>
      <w:pPr/>
      <w:r>
        <w:rPr/>
        <w:t xml:space="preserve">أحمد بن محمد أبو العباس المهدوي المقرئ </w:t>
      </w:r>
    </w:p>
    <w:p/>
    <w:p>
      <w:pPr/>
      <w:r>
        <w:rPr/>
        <w:t xml:space="preserve">أصله من المهدية من بلاد القيروان، ودخل الأندلس في حدود الثلاثين وأربعمائة أو نحوهما.</w:t>
      </w:r>
    </w:p>
    <w:p/>
    <w:p>
      <w:pPr/>
      <w:r>
        <w:rPr/>
        <w:t xml:space="preserve">وكان عالماً بالقراءات والأدب متقدماً إماماً ألف في التفسير كتاباً حسناً ومن شعره في ظاءات القرآن.</w:t>
      </w:r>
    </w:p>
    <w:p/>
    <w:p>
      <w:pPr>
        <w:jc w:val="center"/>
      </w:pPr>
      <w:r>
        <w:rPr>
          <w:color w:val="ff0000"/>
        </w:rPr>
        <w:t xml:space="preserve">ظنت عظيمة ظلمنا من حظها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فظللت أوقظها لأكظم غيظها</w:t>
      </w:r>
    </w:p>
    <w:p/>
    <w:p>
      <w:pPr>
        <w:jc w:val="center"/>
      </w:pPr>
      <w:r>
        <w:rPr>
          <w:color w:val="ff0000"/>
        </w:rPr>
        <w:t xml:space="preserve">وظعنت أنظر في الظلام وظله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ظمآن أنتظر الظهور لوعظها</w:t>
      </w:r>
    </w:p>
    <w:p/>
    <w:p>
      <w:pPr>
        <w:jc w:val="center"/>
      </w:pPr>
      <w:r>
        <w:rPr>
          <w:color w:val="ff0000"/>
        </w:rPr>
        <w:t xml:space="preserve">ظهري وظفري ثم عظمي في لظى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لأظاهرن لحظها ولحفظها</w:t>
      </w:r>
    </w:p>
    <w:p/>
    <w:p>
      <w:pPr>
        <w:jc w:val="center"/>
      </w:pPr>
      <w:r>
        <w:rPr>
          <w:color w:val="ff0000"/>
        </w:rPr>
        <w:t xml:space="preserve">لفظي شواظ أو كشمس ظهيرة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ظفر لدى غلظ القلوب وفظها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2026-10-04T07:21:48+03:00</dcterms:created>
  <dcterms:modified xsi:type="dcterms:W3CDTF">2026-10-04T07:21:48+03:00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