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يحيى بن فورتش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يحيى بن فورتش
</w:t>
      </w:r>
    </w:p>
    <w:p>
      <w:pPr/>
      <w:r>
        <w:rPr/>
        <w:t xml:space="preserve">محمد بن يحيى بن فورتش </w:t>
      </w:r>
    </w:p>
    <w:p/>
    <w:p>
      <w:pPr/>
      <w:r>
        <w:rPr/>
        <w:t xml:space="preserve">قاضي سرقسطة من أهل المعرفة والدين كان إذا عرض عليه من وجبت عليه يمين الصلح فيأبى من ذلك قال لخصمه: احمله إلى المحراب الذي بناه التابعون محلفه هناك ترهيباً فربما أناب إلى الصلح عند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2026-10-04T08:15:38+03:00</dcterms:created>
  <dcterms:modified xsi:type="dcterms:W3CDTF">2026-10-04T08:15:38+03:00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