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 بن أبي حمزة القاضي،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 بن أبي حمزة القاضي، أبو القاسم
</w:t>
      </w:r>
    </w:p>
    <w:p>
      <w:pPr/>
      <w:r>
        <w:rPr/>
        <w:t xml:space="preserve">محمد بن هشام بن أبي حمزة القاضي، أبو القاسم </w:t>
      </w:r>
    </w:p>
    <w:p/>
    <w:p>
      <w:pPr/>
      <w:r>
        <w:rPr/>
        <w:t xml:space="preserve">فقيه متقدم مشهور بالصلابة في الدين، والنفاذ في الحكم، والعقل الراجح مذكور بالفضل والمعرفة تدميري.</w:t>
      </w:r>
    </w:p>
    <w:p/>
    <w:p>
      <w:pPr/>
      <w:r>
        <w:rPr/>
        <w:t xml:space="preserve">توفى سنة ست وثلاثين وخمسمائة، روى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2026-08-05T19:14:39+03:00</dcterms:created>
  <dcterms:modified xsi:type="dcterms:W3CDTF">2026-08-05T19:14:39+03:00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