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القاضي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القاضي أبو بكر
</w:t>
      </w:r>
    </w:p>
    <w:p>
      <w:pPr/>
      <w:r>
        <w:rPr/>
        <w:t xml:space="preserve">محمد بن محمود القاضي أبو بكر </w:t>
      </w:r>
    </w:p>
    <w:p/>
    <w:p>
      <w:pPr/>
      <w:r>
        <w:rPr/>
        <w:t xml:space="preserve">فقيه عارف، أديب شروطي، كان حافظاً للفقه والشعر قال لي ذات يوم: ما اشتريت كتاباً قط حتى أعزم على حفظه كما أحفظ السورة من القرآن. سكن المرية ورحل إلى قرطبة وتفقه فيها.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2026-08-05T22:22:51+03:00</dcterms:created>
  <dcterms:modified xsi:type="dcterms:W3CDTF">2026-08-05T22:22:51+03:00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