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موهب القبري
</w:t>
      </w:r>
    </w:p>
    <w:p>
      <w:pPr>
        <w:jc w:val="start"/>
        <w:bidi/>
      </w:pPr>
      <w:r>
        <w:rPr>
          <w:rFonts w:ascii="arial" w:hAnsi="arial" w:eastAsia="arial" w:cs="arial"/>
          <w:sz w:val="28"/>
          <w:szCs w:val="28"/>
          <w:b w:val="1"/>
          <w:bCs w:val="1"/>
          <w:rtl/>
        </w:rPr>
        <w:t xml:space="preserve">محمد بن موهب القبري
</w:t>
      </w:r>
    </w:p>
    <w:p>
      <w:pPr/>
      <w:r>
        <w:rPr/>
        <w:t xml:space="preserve">محمد بن موهب القبري </w:t>
      </w:r>
    </w:p>
    <w:p/>
    <w:p>
      <w:pPr/>
      <w:r>
        <w:rPr/>
        <w:t xml:space="preserve">والد الحكم أبي شاكر عبد الواحد بن محمد، وجد أبي الوليد سليمان بن خلف الباجي لأمه كان فقيهاً عالماً تفقه بالقيروان على أبي محمد عبد الله بن أبي زيد، وأبي الحسين القابسي ومن كان هنالك، وطالع علوماً من المعاني والكلام ورجع إلى الأندلس في الأيام العامرية فأظهر شيئاً من ذلك كالكلام في نبوة النساء ونحو هذه المسائل التي لا يعرفه العوام فشنع بذلك عليه واتفق عليه بذلك أسباب اختلاف وفرقة. مات قريباً من الأربعمائة.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2026-08-05T18:59:56+03:00</dcterms:created>
  <dcterms:modified xsi:type="dcterms:W3CDTF">2026-08-05T18:59:56+03:00</dcterms:modified>
</cp:coreProperties>
</file>

<file path=docProps/custom.xml><?xml version="1.0" encoding="utf-8"?>
<Properties xmlns="http://schemas.openxmlformats.org/officeDocument/2006/custom-properties" xmlns:vt="http://schemas.openxmlformats.org/officeDocument/2006/docPropsVTypes"/>
</file>