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قادم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قادم
</w:t>
      </w:r>
    </w:p>
    <w:p>
      <w:pPr/>
      <w:r>
        <w:rPr/>
        <w:t xml:space="preserve">محمد بن قادم </w:t>
      </w:r>
    </w:p>
    <w:p/>
    <w:p>
      <w:pPr/>
      <w:r>
        <w:rPr/>
        <w:t xml:space="preserve">من الشعراء الذين ذكرهم أحمد بن فرج وأورد له:</w:t>
      </w:r>
    </w:p>
    <w:p/>
    <w:p>
      <w:pPr>
        <w:jc w:val="center"/>
      </w:pPr>
      <w:r>
        <w:rPr>
          <w:color w:val="ff0000"/>
        </w:rPr>
        <w:t xml:space="preserve">لاضطرام البرق قلبي يضطرم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ولمسراه جفوني لم تنم</w:t>
      </w:r>
    </w:p>
    <w:p/>
    <w:p>
      <w:pPr>
        <w:jc w:val="center"/>
      </w:pPr>
      <w:r>
        <w:rPr>
          <w:color w:val="ff0000"/>
        </w:rPr>
        <w:t xml:space="preserve">بت أرعاه بعيني مغرم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دجى ليل دجوجي أحم</w:t>
      </w:r>
    </w:p>
    <w:p/>
    <w:p>
      <w:pPr>
        <w:jc w:val="center"/>
      </w:pPr>
      <w:r>
        <w:rPr>
          <w:color w:val="ff0000"/>
        </w:rPr>
        <w:t xml:space="preserve">فكأن الليل في حضرته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ووميض البرق زنج تبتمس</w:t>
      </w:r>
    </w:p>
    <w:p/>
    <w:p>
      <w:pPr>
        <w:jc w:val="center"/>
      </w:pPr>
      <w:r>
        <w:rPr>
          <w:color w:val="ff0000"/>
        </w:rPr>
        <w:t xml:space="preserve">عاد بالقدرة ماء ساكباً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 ما كان شهاباً يحتدم</w:t>
      </w:r>
    </w:p>
    <w:p/>
    <w:p>
      <w:pPr>
        <w:jc w:val="center"/>
      </w:pPr>
      <w:r>
        <w:rPr>
          <w:color w:val="ff0000"/>
        </w:rPr>
        <w:t xml:space="preserve">فكأن البرق في وبل الحيا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نار شوقي، ودموعي تنسجم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2026-10-04T09:02:23+03:00</dcterms:created>
  <dcterms:modified xsi:type="dcterms:W3CDTF">2026-10-04T09:02:23+03:00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