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مسلمة أبو عامر،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مسلمة أبو عامر، الوزير
</w:t>
      </w:r>
    </w:p>
    <w:p>
      <w:pPr/>
      <w:r>
        <w:rPr/>
        <w:t xml:space="preserve">محمد بن عبد الله بن محمد بن مسلمة أبو عامر، الوزير </w:t>
      </w:r>
    </w:p>
    <w:p/>
    <w:p>
      <w:pPr/>
      <w:r>
        <w:rPr/>
        <w:t xml:space="preserve">أديب عالم شاعر في بيت أديب ورياسة، سكن إشبيلية وله كتاب سماه كتاب ’’الارتياح بوصف الراح’’ ذكر ما قيل فيها وفي الرياض والبساتين واحتفل في ذلك، ومن شعره فيه:</w:t>
      </w:r>
    </w:p>
    <w:p/>
    <w:p>
      <w:pPr>
        <w:jc w:val="center"/>
      </w:pPr>
      <w:r>
        <w:rPr>
          <w:color w:val="ff0000"/>
        </w:rPr>
        <w:t xml:space="preserve">وسوسن راق مرآه ومخبره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وجل في أعين النظار منظره</w:t>
      </w:r>
    </w:p>
    <w:p/>
    <w:p>
      <w:pPr>
        <w:jc w:val="center"/>
      </w:pPr>
      <w:r>
        <w:rPr>
          <w:color w:val="ff0000"/>
        </w:rPr>
        <w:t xml:space="preserve">كأنه أكؤس البلور قد وضعت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مسدسات تعالى الله مظهره</w:t>
      </w:r>
    </w:p>
    <w:p/>
    <w:p>
      <w:pPr>
        <w:jc w:val="center"/>
      </w:pPr>
      <w:r>
        <w:rPr>
          <w:color w:val="ff0000"/>
        </w:rPr>
        <w:t xml:space="preserve">وبينها ألسن قد طرقت ذهباً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بينها قائم بالملك تؤثره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حج الحجيج مني ففازوا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وتفرقت عن خيفة الأشهاد</w:t>
      </w:r>
    </w:p>
    <w:p/>
    <w:p>
      <w:pPr>
        <w:jc w:val="center"/>
      </w:pPr>
      <w:r>
        <w:rPr>
          <w:color w:val="ff0000"/>
        </w:rPr>
        <w:t xml:space="preserve">ولنا بوجهك حجة مبرورة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 يوم تقتضي وتعاد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2026-10-04T11:12:02+03:00</dcterms:created>
  <dcterms:modified xsi:type="dcterms:W3CDTF">2026-10-04T11:12:02+03:00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