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بن محمد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بن محمد بن سعيد
</w:t>
      </w:r>
    </w:p>
    <w:p>
      <w:pPr/>
      <w:r>
        <w:rPr/>
        <w:t xml:space="preserve">محمد بن الحسن بن محمد بن سعيد </w:t>
      </w:r>
    </w:p>
    <w:p/>
    <w:p>
      <w:pPr/>
      <w:r>
        <w:rPr/>
        <w:t xml:space="preserve">المقرئ بجامع دانية، فقيه مقرئ مجود ضابط متقن يعرف بابن غلام الفرس، وكان زاهداً ورعاً مقدماً في الإقراء والضبط والإتقان. توفى سنة سبع وأربعين وخمسمائة. يروي عن أبي داود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2026-08-05T19:13:13+03:00</dcterms:created>
  <dcterms:modified xsi:type="dcterms:W3CDTF">2026-08-05T19:13:13+03:00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