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رشد، أبو الوليد
</w:t>
      </w:r>
    </w:p>
    <w:p>
      <w:pPr>
        <w:jc w:val="start"/>
        <w:bidi/>
      </w:pPr>
      <w:r>
        <w:rPr>
          <w:rFonts w:ascii="arial" w:hAnsi="arial" w:eastAsia="arial" w:cs="arial"/>
          <w:sz w:val="28"/>
          <w:szCs w:val="28"/>
          <w:b w:val="1"/>
          <w:bCs w:val="1"/>
          <w:rtl/>
        </w:rPr>
        <w:t xml:space="preserve">محمد بن أحمد بن محمد بن رشد، أبو الوليد
</w:t>
      </w:r>
    </w:p>
    <w:p>
      <w:pPr/>
      <w:r>
        <w:rPr/>
        <w:t xml:space="preserve">محمد بن أحمد بن محمد بن رشد، أبو الوليد </w:t>
      </w:r>
    </w:p>
    <w:p/>
    <w:p>
      <w:pPr/>
      <w:r>
        <w:rPr/>
        <w:t xml:space="preserve">قاضي الجماعة بقرطبة، مؤلف المقدمات وغيرها، يروي عن أبي جعفر بن رزق وغيره ومن تأليفه كتاب البيان والتحصيل والشرح والتوجيه والتعليل لمسائل ’’العتبية’’ وهو كتاب كبير ظهر فيه، وكان أوحد زمانه في طريقة الفقه، حدثني عنه غير واحد منهم ابن أبي الزاهد أبو العباس أحمد بن عبد الملك بن عميرة، وأبو جعفر أحمد بن أحمد بن الأزدي وأبو الحجاج الثغري توفى سنة ثلاثين وخمسمائة بقرطبة، وصلى عليه ابنه أبو القاسم ودفن بمقبرة عباس ومولده في سنة خمسين وأربعمائة .</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2026-08-05T17:04:45+03:00</dcterms:created>
  <dcterms:modified xsi:type="dcterms:W3CDTF">2026-08-05T17:04:45+03:00</dcterms:modified>
</cp:coreProperties>
</file>

<file path=docProps/custom.xml><?xml version="1.0" encoding="utf-8"?>
<Properties xmlns="http://schemas.openxmlformats.org/officeDocument/2006/custom-properties" xmlns:vt="http://schemas.openxmlformats.org/officeDocument/2006/docPropsVTypes"/>
</file>