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محمد
</w:t>
      </w:r>
    </w:p>
    <w:p>
      <w:pPr>
        <w:jc w:val="start"/>
        <w:bidi/>
      </w:pPr>
      <w:r>
        <w:rPr>
          <w:rFonts w:ascii="arial" w:hAnsi="arial" w:eastAsia="arial" w:cs="arial"/>
          <w:sz w:val="28"/>
          <w:szCs w:val="28"/>
          <w:b w:val="1"/>
          <w:bCs w:val="1"/>
          <w:rtl/>
        </w:rPr>
        <w:t xml:space="preserve">المنذر بن محمد
</w:t>
      </w:r>
    </w:p>
    <w:p>
      <w:pPr/>
      <w:r>
        <w:rPr/>
        <w:t xml:space="preserve">المنذر بن محمد </w:t>
      </w:r>
    </w:p>
    <w:p/>
    <w:p>
      <w:pPr/>
      <w:r>
        <w:rPr/>
        <w:t xml:space="preserve">ولاية المنذر بن محمد</w:t>
      </w:r>
    </w:p>
    <w:p/>
    <w:p>
      <w:pPr/>
      <w:r>
        <w:rPr/>
        <w:t xml:space="preserve">فولي بعده أخوه عبد الله بن محمد، وكان مولده سنة ثلاثين ومائتين.</w:t>
      </w:r>
    </w:p>
    <w:p/>
    <w:p>
      <w:pPr/>
      <w:r>
        <w:rPr/>
        <w:t xml:space="preserve">يكنى أبا محمد، وأمه أم ولد اسمها أشار طال عمرها إلى أن ماتت قبل موته سنة وشهر وكان وادعاً لا يشرب الخمر، وفي أيامه امتلأت الأندلس بالفتن، وصار في كل جهة متغلب، فلم يزل كذلك طول ولايته إلى أن مات مستهل ربيع الأول سنة 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2026-10-05T17:14:51+03:00</dcterms:created>
  <dcterms:modified xsi:type="dcterms:W3CDTF">2026-10-05T17:14:51+03:00</dcterms:modified>
</cp:coreProperties>
</file>

<file path=docProps/custom.xml><?xml version="1.0" encoding="utf-8"?>
<Properties xmlns="http://schemas.openxmlformats.org/officeDocument/2006/custom-properties" xmlns:vt="http://schemas.openxmlformats.org/officeDocument/2006/docPropsVTypes"/>
</file>