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بن أحمد بن إسماعيل بن المهدي أبو البركات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بن أحمد بن إسماعيل بن المهدي أبو البركات العلوي
</w:t>
      </w:r>
    </w:p>
    <w:p>
      <w:pPr/>
      <w:r>
        <w:rPr/>
        <w:t xml:space="preserve">المهدي بن أحمد بن إسماعيل بن المهدي أبو البركات العلوي </w:t>
      </w:r>
    </w:p>
    <w:p/>
    <w:p>
      <w:pPr/>
      <w:r>
        <w:rPr/>
        <w:t xml:space="preserve">ولد بأصبهان ونشأ ببغداد. قال ابن السمعاني: وكان واعظاً مليح الوعظ حسن العبارة. سمع ببغداد ابن النظر وغيره. وُلد سنة ثلاث وثمانين وأربعمائة. قال: وخسف بِحَترة في سنة أربع وثلاثين وخمسمائة، وهلك فيها عالم كثير وخلق من المسلمين منهم المهدى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2026-08-05T16:29:19+03:00</dcterms:created>
  <dcterms:modified xsi:type="dcterms:W3CDTF">2026-08-05T16:29:19+03:00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