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محمد بن إبراهيم بن محمد بن إسماعيل الزيادى أبو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محمد بن إبراهيم بن محمد بن إسماعيل الزيادى أبو محمد.
</w:t>
      </w:r>
    </w:p>
    <w:p>
      <w:pPr/>
      <w:r>
        <w:rPr/>
        <w:t xml:space="preserve">الفضل بن محمد بن إبراهيم بن محمد بن إسماعيل الزيادى أبو محمد. </w:t>
      </w:r>
    </w:p>
    <w:p/>
    <w:p>
      <w:pPr/>
      <w:r>
        <w:rPr/>
        <w:t xml:space="preserve">قاضي سرخس، ثم صرف عنها. كان فقيهاً فاضلاً متزهداً، ولد سنة ثمان وخمسين وأربعمائة، ومات بسرخس سنة خمسين وخمسمائة قاله ابن السمعاني، وترجم له أبو الفتح العاصمى في الرسالة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2026-08-05T16:29:46+03:00</dcterms:created>
  <dcterms:modified xsi:type="dcterms:W3CDTF">2026-08-05T16:29:46+03:00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