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أحمد بن عمر بن دوس الخطيبي
</w:t>
      </w:r>
    </w:p>
    <w:p>
      <w:pPr>
        <w:jc w:val="start"/>
        <w:bidi/>
      </w:pPr>
      <w:r>
        <w:rPr>
          <w:rFonts w:ascii="arial" w:hAnsi="arial" w:eastAsia="arial" w:cs="arial"/>
          <w:sz w:val="28"/>
          <w:szCs w:val="28"/>
          <w:b w:val="1"/>
          <w:bCs w:val="1"/>
          <w:rtl/>
        </w:rPr>
        <w:t xml:space="preserve">عمر بن أحمد بن عمر بن دوس الخطيبي
</w:t>
      </w:r>
    </w:p>
    <w:p>
      <w:pPr/>
      <w:r>
        <w:rPr/>
        <w:t xml:space="preserve">عمر بن أحمد بن عمر بن دوس الخطيبي </w:t>
      </w:r>
    </w:p>
    <w:p/>
    <w:p>
      <w:pPr/>
      <w:r>
        <w:rPr/>
        <w:t xml:space="preserve">الواعظ من زنجان. تفقه على القاضي أبي بكر محمد بن إسحاق بن عثمان بن عزيز المروزي صاحب أبي اسحاق الشيرازي وغيره، ولد سنة احدى وتسعين وأربعمائة. قال القاضي أبو زكريا يحيى بن القاسم بن المفرج التكريتي مدرس النظامية: كان فقيهاً محققاً فاضلاً في علم المذهب والخلاف والأصول فصيح اللسان مليح المناظرة، وعظ بالنظامية مراراً، وحضر بجامع القصر، واستدل بمسألة تعليق الطلاق بالملك فاعترض عليه يوسف الدمشقى المدرس بالنظامية. ذكره ابن النجار، ولم يؤرخ وفاته.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2026-10-05T22:04:54+03:00</dcterms:created>
  <dcterms:modified xsi:type="dcterms:W3CDTF">2026-10-05T22:04:54+03:00</dcterms:modified>
</cp:coreProperties>
</file>

<file path=docProps/custom.xml><?xml version="1.0" encoding="utf-8"?>
<Properties xmlns="http://schemas.openxmlformats.org/officeDocument/2006/custom-properties" xmlns:vt="http://schemas.openxmlformats.org/officeDocument/2006/docPropsVTypes"/>
</file>