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يوسف الأيوبى محيى الدين أبو عمرو.
</w:t>
      </w:r>
    </w:p>
    <w:p>
      <w:pPr>
        <w:jc w:val="start"/>
        <w:bidi/>
      </w:pPr>
      <w:r>
        <w:rPr>
          <w:rFonts w:ascii="arial" w:hAnsi="arial" w:eastAsia="arial" w:cs="arial"/>
          <w:sz w:val="28"/>
          <w:szCs w:val="28"/>
          <w:b w:val="1"/>
          <w:bCs w:val="1"/>
          <w:rtl/>
        </w:rPr>
        <w:t xml:space="preserve">عثمان بن يوسف الأيوبى محيى الدين أبو عمرو.
</w:t>
      </w:r>
    </w:p>
    <w:p>
      <w:pPr/>
      <w:r>
        <w:rPr/>
        <w:t xml:space="preserve">عثمان بن يوسف الأيوبى محيى الدين أبو عمرو. </w:t>
      </w:r>
    </w:p>
    <w:p/>
    <w:p>
      <w:pPr/>
      <w:r>
        <w:rPr/>
        <w:t xml:space="preserve">ولد سنة سبع أو ثمان وسبعين وخمسمائة، وأجاز له أبو اليمن الكندي، وناب في الحكم بالقاهرة، وخطب بها وشرح الخطب النبانية في جزء، وجمع في الفقه مجلدة تشتمل على مسائل غريبة يعرف ’’بالمجموع’’. مات بالقاهرة سنة أربع وأربعين وستمائة، روى عنه الدمياطي بالإجازة.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2026-08-05T18:18:34+03:00</dcterms:created>
  <dcterms:modified xsi:type="dcterms:W3CDTF">2026-08-05T18:18:34+03:00</dcterms:modified>
</cp:coreProperties>
</file>

<file path=docProps/custom.xml><?xml version="1.0" encoding="utf-8"?>
<Properties xmlns="http://schemas.openxmlformats.org/officeDocument/2006/custom-properties" xmlns:vt="http://schemas.openxmlformats.org/officeDocument/2006/docPropsVTypes"/>
</file>