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العزيز بن خلف بن محمد النصيبي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العزيز بن خلف بن محمد النصيبي
</w:t>
      </w:r>
    </w:p>
    <w:p>
      <w:pPr/>
      <w:r>
        <w:rPr/>
        <w:t xml:space="preserve">عبد السلام بن عبد العزيز بن خلف بن محمد النصيبي </w:t>
      </w:r>
    </w:p>
    <w:p/>
    <w:p>
      <w:pPr/>
      <w:r>
        <w:rPr/>
        <w:t xml:space="preserve">المعروف بابن الحيان من فقهاء أصحابنا، وله كتاب سماه ’’التلخيص’’ وقف عليه ابن الصلاح ونقل منه فوائد في مجموع له . النص والكعبة ومسجد الرسول وإيلياء والكوفة، وفيما سواها قولان أحدهما نص والآخر اجتهاد، وقال ابن الصلاح: هذا غريب بمرة. وقد قال الرويانى في الكافى عاطفا على قبله: مسجد الرسول عليه السلام وكذلك قبله قباء، وهذا قد ذكره الرافعي.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2026-10-04T18:37:13+03:00</dcterms:created>
  <dcterms:modified xsi:type="dcterms:W3CDTF">2026-10-04T18:37:13+03:00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