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يوسف بن 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يوسف بن محمد بن يوسف
</w:t>
      </w:r>
    </w:p>
    <w:p>
      <w:pPr/>
      <w:r>
        <w:rPr/>
        <w:t xml:space="preserve">عبد اللَّه بن يوسف بن محمد بن يوسف </w:t>
      </w:r>
    </w:p>
    <w:p/>
    <w:p>
      <w:pPr/>
      <w:r>
        <w:rPr/>
        <w:t xml:space="preserve">قاضي هجر اليمن. قال المطرى: سمع من أبي محمد وهبة اللَّه بن الموانس. سمع منه الحافظ أبو زكريا البخارى ببلده، وتولى قضائه في سنة سبع وأربعمائة. قال: وله يومئذ ثمان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2026-08-05T17:03:34+03:00</dcterms:created>
  <dcterms:modified xsi:type="dcterms:W3CDTF">2026-08-05T17:03:34+03:00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