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بن أحمد بن أحمد بن محمد بن المعلّم القاسم العكبُري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بن أحمد بن أحمد بن محمد بن المعلّم القاسم العكبُري
</w:t>
      </w:r>
    </w:p>
    <w:p>
      <w:pPr/>
      <w:r>
        <w:rPr/>
        <w:t xml:space="preserve">عبد اللَّه بن محمد بن أحمد بن أحمد بن محمد بن المعلّم القاسم العكبُري </w:t>
      </w:r>
    </w:p>
    <w:p/>
    <w:p>
      <w:pPr/>
      <w:r>
        <w:rPr/>
        <w:t xml:space="preserve">الأديب تفقه على الشيخ أبي إسحاق، وسمع الحديث من جماعة، وصنف ’’الانتصار’’ لحمزة الزيات فيما نسبه إليه ابن قتيبة في مشكل القرآن، وله شعر جيد، مات سنة عشر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2026-08-05T16:30:01+03:00</dcterms:created>
  <dcterms:modified xsi:type="dcterms:W3CDTF">2026-08-05T16:30:01+03:00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