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بن محمد بن أبي عبد اللَّه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بن محمد بن أبي عبد اللَّه الهمداني
</w:t>
      </w:r>
    </w:p>
    <w:p>
      <w:pPr/>
      <w:r>
        <w:rPr/>
        <w:t xml:space="preserve">عبد اللَّه بن أحمد بن محمد بن أبي عبد اللَّه الهمداني </w:t>
      </w:r>
    </w:p>
    <w:p/>
    <w:p>
      <w:pPr/>
      <w:r>
        <w:rPr/>
        <w:t xml:space="preserve">تفقه بزيد اليفاعى وغيره، ورحل إلى ابن عبد ربه فقرأ عليه، وكان يسكن زيدان من بادية الجند، وبها مات سنة ثلاث وعشرين وخمسمائة، ترجمه والذي قبله المطري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2026-08-05T21:32:00+03:00</dcterms:created>
  <dcterms:modified xsi:type="dcterms:W3CDTF">2026-08-05T21:32:00+03:00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