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محمود بن محمد بن عبد الرحمن أبو المروزي.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محمود بن محمد بن عبد الرحمن أبو المروزي.
</w:t>
      </w:r>
    </w:p>
    <w:p>
      <w:pPr/>
      <w:r>
        <w:rPr/>
        <w:t xml:space="preserve">محمد بن محمود بن محمد بن عبد الرحمن أبو المروزي. </w:t>
      </w:r>
    </w:p>
    <w:p/>
    <w:p>
      <w:pPr/>
      <w:r>
        <w:rPr/>
        <w:t xml:space="preserve">ثم الهمدانى، ثم البغدادي، فقيه فاضل يعرف الخلاف، مات سنة ست عشرة وستمائة، وفيها كان ظهور جنكيزخان وجنوده.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2026-08-05T21:30:54+03:00</dcterms:created>
  <dcterms:modified xsi:type="dcterms:W3CDTF">2026-08-05T21:30:54+03:00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