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 بن محمد بن عبد الرحمن أبو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 بن محمد بن عبد الرحمن أبو المروزي.
</w:t>
      </w:r>
    </w:p>
    <w:p>
      <w:pPr/>
      <w:r>
        <w:rPr/>
        <w:t xml:space="preserve">محمد بن محمود بن محمد بن عبد الرحمن أبو المروزي. </w:t>
      </w:r>
    </w:p>
    <w:p/>
    <w:p>
      <w:pPr/>
      <w:r>
        <w:rPr/>
        <w:t xml:space="preserve">ثم الهمدانى، ثم البغدادي، فقيه فاضل يعرف الخلاف، مات سنة ست عشرة وستمائة، وفيها كان ظهور جنكيزخان وجنوده.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2026-10-07T01:21:44+03:00</dcterms:created>
  <dcterms:modified xsi:type="dcterms:W3CDTF">2026-10-07T01:21:44+03:00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