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الثانى: شيخنا تقى الدين أبو عبد اللَّه محمد بن محمد بن أبي بكر بن علي بن عبد اللَّه الكناني
</w:t>
      </w:r>
    </w:p>
    <w:p>
      <w:pPr>
        <w:jc w:val="start"/>
        <w:bidi/>
      </w:pPr>
      <w:r>
        <w:rPr>
          <w:rFonts w:ascii="arial" w:hAnsi="arial" w:eastAsia="arial" w:cs="arial"/>
          <w:sz w:val="28"/>
          <w:szCs w:val="28"/>
          <w:b w:val="1"/>
          <w:bCs w:val="1"/>
          <w:rtl/>
        </w:rPr>
        <w:t xml:space="preserve">الثانى: شيخنا تقى الدين أبو عبد اللَّه محمد بن محمد بن أبي بكر بن علي بن عبد اللَّه الكناني
</w:t>
      </w:r>
    </w:p>
    <w:p>
      <w:pPr/>
      <w:r>
        <w:rPr/>
        <w:t xml:space="preserve">الثانى: شيخنا تقى الدين أبو عبد اللَّه محمد بن محمد بن أبي بكر بن علي بن عبد اللَّه الكناني </w:t>
      </w:r>
    </w:p>
    <w:p/>
    <w:p>
      <w:pPr/>
      <w:r>
        <w:rPr/>
        <w:t xml:space="preserve">تفقه على العلم العراقى، وسمع الحديث على الأبرقوهى وغيره، حدث ودرس بالفارقانية بعد ابن الصيرفي السالف إلى أن مات شهيدا في الطاعون سنة تسع وأربعين وسبعمائة، وأعاد بالجامع الحاكمى في الفقه والحديث، قرأت عليه قطعة من صحيح مسلم بحثا وسماعاً، وقطعاً من منهاج النووي، وكان محدثاً مفسراً فاضلاً، وكان مولده تاسع وعشرين ربيع الأول من سنة ثلاث وثمانين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2026-10-07T01:24:16+03:00</dcterms:created>
  <dcterms:modified xsi:type="dcterms:W3CDTF">2026-10-07T01:24:16+03:00</dcterms:modified>
</cp:coreProperties>
</file>

<file path=docProps/custom.xml><?xml version="1.0" encoding="utf-8"?>
<Properties xmlns="http://schemas.openxmlformats.org/officeDocument/2006/custom-properties" xmlns:vt="http://schemas.openxmlformats.org/officeDocument/2006/docPropsVTypes"/>
</file>