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حملة جمال الدين يوسف بن إبراهيم بن حملة.
</w:t>
      </w:r>
    </w:p>
    <w:p>
      <w:pPr>
        <w:jc w:val="start"/>
        <w:bidi/>
      </w:pPr>
      <w:r>
        <w:rPr>
          <w:rFonts w:ascii="arial" w:hAnsi="arial" w:eastAsia="arial" w:cs="arial"/>
          <w:sz w:val="28"/>
          <w:szCs w:val="28"/>
          <w:b w:val="1"/>
          <w:bCs w:val="1"/>
          <w:rtl/>
        </w:rPr>
        <w:t xml:space="preserve">ابن حملة جمال الدين يوسف بن إبراهيم بن حملة.
</w:t>
      </w:r>
    </w:p>
    <w:p>
      <w:pPr/>
      <w:r>
        <w:rPr/>
        <w:t xml:space="preserve">ابن حملة جمال الدين يوسف بن إبراهيم بن حملة. </w:t>
      </w:r>
    </w:p>
    <w:p/>
    <w:p>
      <w:pPr/>
      <w:r>
        <w:rPr/>
        <w:t xml:space="preserve">كان عالماً بارعاً خيراً، تفقه على ابن المرحل وغيره، وناب في الحكم بدمشق عن الشيخ علامى الدين القونوى، ثم تولى قضاء القضاة بها نحو سنتين، وباشر ذلك أحسن مباشرة، وعزل وحبس مدة، ودرس بالشامية الكبرى، ومات سنة ثمان وثلاثين وسبعمائة عن سبع وخمسين سنة، وابن أخيه جمال الدين محمود بن محمد بن إبراهيم، ناب عن عمه في القضاء، ثم ترك ذلك وتولى خطابة جامع دمشق، ومات سنة أربع وستين وسبعمائة، وكان فقيها فاضلاً صالحاً منقطعا عن الناس.</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2026-10-07T01:23:00+03:00</dcterms:created>
  <dcterms:modified xsi:type="dcterms:W3CDTF">2026-10-07T01:23:00+03:00</dcterms:modified>
</cp:coreProperties>
</file>

<file path=docProps/custom.xml><?xml version="1.0" encoding="utf-8"?>
<Properties xmlns="http://schemas.openxmlformats.org/officeDocument/2006/custom-properties" xmlns:vt="http://schemas.openxmlformats.org/officeDocument/2006/docPropsVTypes"/>
</file>