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فخر الدين الصقلي
</w:t>
      </w:r>
    </w:p>
    <w:p>
      <w:pPr>
        <w:jc w:val="start"/>
        <w:bidi/>
      </w:pPr>
      <w:r>
        <w:rPr>
          <w:rFonts w:ascii="arial" w:hAnsi="arial" w:eastAsia="arial" w:cs="arial"/>
          <w:sz w:val="28"/>
          <w:szCs w:val="28"/>
          <w:b w:val="1"/>
          <w:bCs w:val="1"/>
          <w:rtl/>
        </w:rPr>
        <w:t xml:space="preserve">محمد بن محمد بن محمد فخر الدين الصقلي
</w:t>
      </w:r>
    </w:p>
    <w:p>
      <w:pPr/>
      <w:r>
        <w:rPr/>
        <w:t xml:space="preserve">محمد بن محمد بن محمد فخر الدين الصقلي </w:t>
      </w:r>
    </w:p>
    <w:p/>
    <w:p>
      <w:pPr/>
      <w:r>
        <w:rPr/>
        <w:t xml:space="preserve">صاحب ’’التنجيز في تصحيح التعجيز’’، كان ففيهاً فاضلاً ورعاً ناب في القضاء بالحكم ببعض نواحى القاهرة، وتفقه عند القطب السنباطى، ومات سنة سبع وعشرين وسبعمائة، والصقلى بفتح الصاد والقاف قال السمعاني في الأنساب: كذا رأيته بخط عمر الرواسى مضبوطاً وهى نسبة إلى حزيرة صقلية في بحر الروم وهى مشهورة. قلت: وضبطها الحسن بن علي الكوفي في أنسابه بفتح الصاد وكسر القاف.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2026-08-05T18:18:09+03:00</dcterms:created>
  <dcterms:modified xsi:type="dcterms:W3CDTF">2026-08-05T18:18:09+03:00</dcterms:modified>
</cp:coreProperties>
</file>

<file path=docProps/custom.xml><?xml version="1.0" encoding="utf-8"?>
<Properties xmlns="http://schemas.openxmlformats.org/officeDocument/2006/custom-properties" xmlns:vt="http://schemas.openxmlformats.org/officeDocument/2006/docPropsVTypes"/>
</file>