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يوسف الأسنانى الشافعي جمال الدين الخطيب.
</w:t>
      </w:r>
    </w:p>
    <w:p>
      <w:pPr>
        <w:jc w:val="start"/>
        <w:bidi/>
      </w:pPr>
      <w:r>
        <w:rPr>
          <w:rFonts w:ascii="arial" w:hAnsi="arial" w:eastAsia="arial" w:cs="arial"/>
          <w:sz w:val="28"/>
          <w:szCs w:val="28"/>
          <w:b w:val="1"/>
          <w:bCs w:val="1"/>
          <w:rtl/>
        </w:rPr>
        <w:t xml:space="preserve">محمد بن علي بن يوسف الأسنانى الشافعي جمال الدين الخطيب.
</w:t>
      </w:r>
    </w:p>
    <w:p>
      <w:pPr/>
      <w:r>
        <w:rPr/>
        <w:t xml:space="preserve">محمد بن علي بن يوسف الأسنانى الشافعي جمال الدين الخطيب. </w:t>
      </w:r>
    </w:p>
    <w:p/>
    <w:p>
      <w:pPr/>
      <w:r>
        <w:rPr/>
        <w:t xml:space="preserve">قدم مصر سنة إحدى وعشرين وسعبمائة، وسمع الحجار وقرأ العربية على والدى، ورحل إلى بيت المقدس، أخذ عن الجعبرى نزيل الخليل، شرح التعجيز بشرح حسن، وناب في القضاء بالأعمال القليوبية وبلاد الشرقية، وحكم بالصالحية، وهو آخر من توفى من طلبة والدى، ومات ليلة الأحد عاشر ربيع الأول من سنة أربع وثمانين وسبعمائة في عمر التسعين، ودفن الشيخ جمال الدين الأسنائى خارج باب النصر.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2026-08-05T16:23:43+03:00</dcterms:created>
  <dcterms:modified xsi:type="dcterms:W3CDTF">2026-08-05T16:23:43+03:00</dcterms:modified>
</cp:coreProperties>
</file>

<file path=docProps/custom.xml><?xml version="1.0" encoding="utf-8"?>
<Properties xmlns="http://schemas.openxmlformats.org/officeDocument/2006/custom-properties" xmlns:vt="http://schemas.openxmlformats.org/officeDocument/2006/docPropsVTypes"/>
</file>