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الكريم أبو الفضائل فخر الدين المصري بن تاج الدين الكاتب.
</w:t>
      </w:r>
    </w:p>
    <w:p>
      <w:pPr>
        <w:jc w:val="start"/>
        <w:bidi/>
      </w:pPr>
      <w:r>
        <w:rPr>
          <w:rFonts w:ascii="arial" w:hAnsi="arial" w:eastAsia="arial" w:cs="arial"/>
          <w:sz w:val="28"/>
          <w:szCs w:val="28"/>
          <w:b w:val="1"/>
          <w:bCs w:val="1"/>
          <w:rtl/>
        </w:rPr>
        <w:t xml:space="preserve">محمد بن عبد الكريم أبو الفضائل فخر الدين المصري بن تاج الدين الكاتب.
</w:t>
      </w:r>
    </w:p>
    <w:p>
      <w:pPr/>
      <w:r>
        <w:rPr/>
        <w:t xml:space="preserve">محمد بن عبد الكريم أبو الفضائل فخر الدين المصري بن تاج الدين الكاتب. </w:t>
      </w:r>
    </w:p>
    <w:p/>
    <w:p>
      <w:pPr/>
      <w:r>
        <w:rPr/>
        <w:t xml:space="preserve">ولد سنة اثنين وتسعين وستمائة، وسمع ست الوزراء ابنة المنجا وغيرها، وقرأ بنفسه، وتفقه على الشيخ كمال الدين بن الزملكانى، وبرع وبعد صيته، وتولى نيابة الحكم بدمشق، ودرس بالدولعية، والعادنية الصغرى، والرواحية، وقرأ النحو على أبي حيان بالقاهرة، وأفتى وناظر واشتغل، وحج غير مرة وجاور، وكان من أذكياء زمانه، مات بدمشق صبيحة يوم الأحد سادس عشر ذى القعدة من سنة إحدى وخمسين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2026-10-07T02:32:18+03:00</dcterms:created>
  <dcterms:modified xsi:type="dcterms:W3CDTF">2026-10-07T02:32:18+03:00</dcterms:modified>
</cp:coreProperties>
</file>

<file path=docProps/custom.xml><?xml version="1.0" encoding="utf-8"?>
<Properties xmlns="http://schemas.openxmlformats.org/officeDocument/2006/custom-properties" xmlns:vt="http://schemas.openxmlformats.org/officeDocument/2006/docPropsVTypes"/>
</file>