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باشا إبراهيم المناوي
</w:t>
      </w:r>
    </w:p>
    <w:p>
      <w:pPr>
        <w:jc w:val="start"/>
        <w:bidi/>
      </w:pPr>
      <w:r>
        <w:rPr>
          <w:rFonts w:ascii="arial" w:hAnsi="arial" w:eastAsia="arial" w:cs="arial"/>
          <w:sz w:val="28"/>
          <w:szCs w:val="28"/>
          <w:b w:val="1"/>
          <w:bCs w:val="1"/>
          <w:rtl/>
        </w:rPr>
        <w:t xml:space="preserve">محمد باشا إبراهيم المناوي
</w:t>
      </w:r>
    </w:p>
    <w:p>
      <w:pPr/>
      <w:r>
        <w:rPr/>
        <w:t xml:space="preserve">محمد باشا إبراهيم المناوي </w:t>
      </w:r>
    </w:p>
    <w:p/>
    <w:p>
      <w:pPr/>
      <w:r>
        <w:rPr/>
        <w:t xml:space="preserve">ولد بمنية القائد من الديار المصرية سنة خمس وخمسين وستمائة، وأقام بمصر، ثم</w:t>
      </w:r>
    </w:p>
    <w:p/>
    <w:p>
      <w:pPr/>
      <w:r>
        <w:rPr/>
        <w:t xml:space="preserve">استوطن القاهرة وأخذ عن ابن الرفعة وغيره من أهل طبقته، وقرأ الأصول على الأصبهانى والعراقى، والنحو على الشيخ بهاء الدين بن النحاس، ودرس بالشافعي والفاضلية، والصيرمية، وشرح التنبيه وغيره، وتولى وكالة بيت المال، وناب في الحكم بالقاهرة، والأعمال القليوبية، وكان مهاباً خيّراً سليم الصدر لا يحابى أحداً، مات خامس شهر رمضان من سنة ست وأربعين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2026-10-07T02:30:25+03:00</dcterms:created>
  <dcterms:modified xsi:type="dcterms:W3CDTF">2026-10-07T02:30:25+03:00</dcterms:modified>
</cp:coreProperties>
</file>

<file path=docProps/custom.xml><?xml version="1.0" encoding="utf-8"?>
<Properties xmlns="http://schemas.openxmlformats.org/officeDocument/2006/custom-properties" xmlns:vt="http://schemas.openxmlformats.org/officeDocument/2006/docPropsVTypes"/>
</file>