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بن محمد الحلبى الأصل المعروف بالنحوي
</w:t>
      </w:r>
    </w:p>
    <w:p>
      <w:pPr>
        <w:jc w:val="start"/>
        <w:bidi/>
      </w:pPr>
      <w:r>
        <w:rPr>
          <w:rFonts w:ascii="arial" w:hAnsi="arial" w:eastAsia="arial" w:cs="arial"/>
          <w:sz w:val="28"/>
          <w:szCs w:val="28"/>
          <w:b w:val="1"/>
          <w:bCs w:val="1"/>
          <w:rtl/>
        </w:rPr>
        <w:t xml:space="preserve">أحمد بن يوسف بن محمد الحلبى الأصل المعروف بالنحوي
</w:t>
      </w:r>
    </w:p>
    <w:p>
      <w:pPr/>
      <w:r>
        <w:rPr/>
        <w:t xml:space="preserve">أحمد بن يوسف بن محمد الحلبى الأصل المعروف بالنحوي </w:t>
      </w:r>
    </w:p>
    <w:p/>
    <w:p>
      <w:pPr/>
      <w:r>
        <w:rPr/>
        <w:t xml:space="preserve">كان فقيهاً بارعاً في النحو والتفسير وعلم القراءات، وشارك في الأصول، خيراً ديناً، شرح ’’التسهيل’’، وله ’’الإعراب’’، ’’والتفسير’’ أيضاً، وبقى من هذا أوراق قلائل، ’’وشرح الشاطبية’’ تصدر لإقراء السبع بالجامع الطولونى، وأعاد بالشافعي، وناب في القاهرة، وتولى نظر الأوقاف بها إلى أن مات سنة ست وخمسين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2026-10-07T02:13:13+03:00</dcterms:created>
  <dcterms:modified xsi:type="dcterms:W3CDTF">2026-10-07T02:13:13+03:00</dcterms:modified>
</cp:coreProperties>
</file>

<file path=docProps/custom.xml><?xml version="1.0" encoding="utf-8"?>
<Properties xmlns="http://schemas.openxmlformats.org/officeDocument/2006/custom-properties" xmlns:vt="http://schemas.openxmlformats.org/officeDocument/2006/docPropsVTypes"/>
</file>