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وعبد العزيز بن الكريم.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وعبد العزيز بن الكريم.
</w:t>
      </w:r>
    </w:p>
    <w:p>
      <w:pPr/>
      <w:r>
        <w:rPr/>
        <w:t xml:space="preserve">وعبد العزيز بن الكريم. </w:t>
      </w:r>
    </w:p>
    <w:p/>
    <w:p>
      <w:pPr/>
      <w:r>
        <w:rPr/>
        <w:t xml:space="preserve">تقدما بعد هذه.</w:t>
      </w:r>
    </w:p>
    <w:p/>
    <w:p>
      <w:pPr/>
      <w:r>
        <w:rPr/>
        <w:t xml:space="preserve">الجزي. ويقال الجنيزي</w:t>
      </w:r>
    </w:p>
    <w:p/>
    <w:p>
      <w:pPr/>
      <w:r>
        <w:rPr/>
        <w:t xml:space="preserve">نسبة إلى جنيزة بلدة من أذربيجان وأرمينية ويقال لها كَنْجَه كما قاله ابن الصلاح منها أصلاً.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2026-10-07T02:29:39+03:00</dcterms:created>
  <dcterms:modified xsi:type="dcterms:W3CDTF">2026-10-07T02:29:39+03:00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