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محمد بن العزيز.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محمد بن العزيز.
</w:t>
      </w:r>
    </w:p>
    <w:p>
      <w:pPr/>
      <w:r>
        <w:rPr/>
        <w:t xml:space="preserve">أبو عبد اللَّه محمد بن العزيز. </w:t>
      </w:r>
    </w:p>
    <w:p/>
    <w:p>
      <w:pPr/>
      <w:r>
        <w:rPr/>
        <w:t xml:space="preserve">برع في المذهب وأعاد بنظامية بغداد، وكان شاعراً بارعاً، ومن شعره ما أسلفته في الطبقة الثالثة بعد العشرين من الطبقة الأولي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2026-08-05T18:17:15+03:00</dcterms:created>
  <dcterms:modified xsi:type="dcterms:W3CDTF">2026-08-05T18:17:15+03:00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