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يوسف بن عبد اللَّه بن محمود الجزرى ثم المصري أبو عبد اللَّه.
</w:t>
      </w:r>
    </w:p>
    <w:p>
      <w:pPr>
        <w:jc w:val="start"/>
        <w:bidi/>
      </w:pPr>
      <w:r>
        <w:rPr>
          <w:rFonts w:ascii="arial" w:hAnsi="arial" w:eastAsia="arial" w:cs="arial"/>
          <w:sz w:val="28"/>
          <w:szCs w:val="28"/>
          <w:b w:val="1"/>
          <w:bCs w:val="1"/>
          <w:rtl/>
        </w:rPr>
        <w:t xml:space="preserve">محمد بن يوسف بن عبد اللَّه بن محمود الجزرى ثم المصري أبو عبد اللَّه.
</w:t>
      </w:r>
    </w:p>
    <w:p>
      <w:pPr/>
      <w:r>
        <w:rPr/>
        <w:t xml:space="preserve">محمد بن يوسف بن عبد اللَّه بن محمود الجزرى ثم المصري أبو عبد اللَّه. </w:t>
      </w:r>
    </w:p>
    <w:p/>
    <w:p>
      <w:pPr/>
      <w:r>
        <w:rPr/>
        <w:t xml:space="preserve">الخطيب بالجامع الصالحى بالقاهرة، ثم بالجامع الطولونى، سمع الأبرقوهى، وكان عارفاً بالأصلين، والفقه، والنحو، والمنطق، والبيان، والطب، ودرس بالمعزية بمصر وبالشريفية بالقاهرة، وشرح منهاج الأصول واستوله القاضي سراج الدين، ومباحثه التي ذكرها في التحصيل والكلام عليها لابن مالك، قرأ عليه الشيخ تقي الدين السبكي علم الكلام، ولد بجزيرة ابن عمر سنة سبع وثلاثين وستمائة، ومات بمصر سادس ذى القعدة من سنة إحدى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2026-08-05T17:17:04+03:00</dcterms:created>
  <dcterms:modified xsi:type="dcterms:W3CDTF">2026-08-05T17:17:04+03:00</dcterms:modified>
</cp:coreProperties>
</file>

<file path=docProps/custom.xml><?xml version="1.0" encoding="utf-8"?>
<Properties xmlns="http://schemas.openxmlformats.org/officeDocument/2006/custom-properties" xmlns:vt="http://schemas.openxmlformats.org/officeDocument/2006/docPropsVTypes"/>
</file>