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محمد العلامة شمس الدين أبو عبد اللَّه الأصبهاني
</w:t>
      </w:r>
    </w:p>
    <w:p>
      <w:pPr>
        <w:jc w:val="start"/>
        <w:bidi/>
      </w:pPr>
      <w:r>
        <w:rPr>
          <w:rFonts w:ascii="arial" w:hAnsi="arial" w:eastAsia="arial" w:cs="arial"/>
          <w:sz w:val="28"/>
          <w:szCs w:val="28"/>
          <w:b w:val="1"/>
          <w:bCs w:val="1"/>
          <w:rtl/>
        </w:rPr>
        <w:t xml:space="preserve">محمد بن محمود محمد العلامة شمس الدين أبو عبد اللَّه الأصبهاني
</w:t>
      </w:r>
    </w:p>
    <w:p>
      <w:pPr/>
      <w:r>
        <w:rPr/>
        <w:t xml:space="preserve">محمد بن محمود محمد العلامة شمس الدين أبو عبد اللَّه الأصبهاني </w:t>
      </w:r>
    </w:p>
    <w:p/>
    <w:p>
      <w:pPr/>
      <w:r>
        <w:rPr/>
        <w:t xml:space="preserve">شارح ’’المحصول’’ ولم يكمله، ’’والقواعد في الأصلين’’، ’’والمنطق في الخلاف’’، وله معرفة جيدة بالنحو والأدب والشعر، ثم ورد إلى مصر فولى قضاء قوص ثم الكرك، ثم عاد إلى مصر ودرس بالصالحية ومشهد الحسين والشافعي، ومات بالقاهرة سنة ثمان وثمانين وستمائة عن اثنين وسبعين سنة، قال تاج الدين بن الفركاح: ولم يكن في زمنه مثله في علم الأصول ناظر فقهاء حلب وأقروا له بغزارة العلم.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2026-08-05T21:31:06+03:00</dcterms:created>
  <dcterms:modified xsi:type="dcterms:W3CDTF">2026-08-05T21:31:06+03:00</dcterms:modified>
</cp:coreProperties>
</file>

<file path=docProps/custom.xml><?xml version="1.0" encoding="utf-8"?>
<Properties xmlns="http://schemas.openxmlformats.org/officeDocument/2006/custom-properties" xmlns:vt="http://schemas.openxmlformats.org/officeDocument/2006/docPropsVTypes"/>
</file>