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الرحمن بن عبد اللَّه بن علوان.
</w:t>
      </w:r>
    </w:p>
    <w:p>
      <w:pPr>
        <w:jc w:val="start"/>
        <w:bidi/>
      </w:pPr>
      <w:r>
        <w:rPr>
          <w:rFonts w:ascii="arial" w:hAnsi="arial" w:eastAsia="arial" w:cs="arial"/>
          <w:sz w:val="28"/>
          <w:szCs w:val="28"/>
          <w:b w:val="1"/>
          <w:bCs w:val="1"/>
          <w:rtl/>
        </w:rPr>
        <w:t xml:space="preserve">أحمد بن عبد اللَّه بن عبد الرحمن بن عبد اللَّه بن علوان.
</w:t>
      </w:r>
    </w:p>
    <w:p>
      <w:pPr/>
      <w:r>
        <w:rPr/>
        <w:t xml:space="preserve">أحمد بن عبد اللَّه بن عبد الرحمن بن عبد اللَّه بن علوان. </w:t>
      </w:r>
    </w:p>
    <w:p/>
    <w:p>
      <w:pPr/>
      <w:r>
        <w:rPr/>
        <w:t xml:space="preserve">قاضي القضاة كمال الدين أبو العباس ابن قاضي القضاة زين الدين الحلبى المعروف بابن الأستاذ شارح الوسيط، ولد سنة إحدى عشرة وستمائة، وسمع وأفتى ودرس وتقضَّى بحلب، ثم قدم أيام هولاكو إلى مصر فدرس بالمعزية والكهارية، ثم عاد إلى بلده قاضياً، ومات سنة اثنين وستين وستمائة، ووى عنه الدمياطى، وكان والده إماماً فاضلاً تولى عدة مدارس بحلب ودخل بغداد وناظر بها وارتفع شأنه عند الملوك، ولد سنة ثمان وسبعين وخمسمائة، ومات سنة خمس وثلاثين وستمائة، وكان جده عبد الرحمن فقيهاً محدثاً صالحاً زاهداً، رحل وحدَّث ومات سنة ثلاث وعشرين وستمائة عن تسعين سنة، وكان له ولد آخر هو عم الشارح المذكور يقال كمال الدين محمد، ولى قضاء حلب.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2026-10-07T04:40:00+03:00</dcterms:created>
  <dcterms:modified xsi:type="dcterms:W3CDTF">2026-10-07T04:40:00+03:00</dcterms:modified>
</cp:coreProperties>
</file>

<file path=docProps/custom.xml><?xml version="1.0" encoding="utf-8"?>
<Properties xmlns="http://schemas.openxmlformats.org/officeDocument/2006/custom-properties" xmlns:vt="http://schemas.openxmlformats.org/officeDocument/2006/docPropsVTypes"/>
</file>