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القاضي شمس الدين الأرموني ثم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محمد القاضي شمس الدين الأرموني ثم المصري
</w:t>
      </w:r>
    </w:p>
    <w:p>
      <w:pPr/>
      <w:r>
        <w:rPr/>
        <w:t xml:space="preserve">محمد بن الحسين بن محمد القاضي شمس الدين الأرموني ثم المصري </w:t>
      </w:r>
    </w:p>
    <w:p/>
    <w:p>
      <w:pPr/>
      <w:r>
        <w:rPr/>
        <w:t xml:space="preserve">نقيب الأشراف بها وقاضي العساكر، تفقه على الصدر بن حمويه، وبرع وساد في المذهب ودرَّس بمصر، شرح ’’المحصول’’، و’’فرائض الوسيط’’، حدَّث عنه الدمياطى، مات سنة خمسين وستمائة وجاوز السبعين.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2026-10-07T05:12:19+03:00</dcterms:created>
  <dcterms:modified xsi:type="dcterms:W3CDTF">2026-10-07T05:12:19+03:00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