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الحسن القاضي القضاة.
</w:t>
      </w:r>
    </w:p>
    <w:p>
      <w:pPr>
        <w:jc w:val="start"/>
        <w:bidi/>
      </w:pPr>
      <w:r>
        <w:rPr>
          <w:rFonts w:ascii="arial" w:hAnsi="arial" w:eastAsia="arial" w:cs="arial"/>
          <w:sz w:val="28"/>
          <w:szCs w:val="28"/>
          <w:b w:val="1"/>
          <w:bCs w:val="1"/>
          <w:rtl/>
        </w:rPr>
        <w:t xml:space="preserve">محمد بن عبد اللَّه بن الحسن القاضي القضاة.
</w:t>
      </w:r>
    </w:p>
    <w:p>
      <w:pPr/>
      <w:r>
        <w:rPr/>
        <w:t xml:space="preserve">محمد بن عبد اللَّه بن الحسن القاضي القضاة. </w:t>
      </w:r>
    </w:p>
    <w:p/>
    <w:p>
      <w:pPr/>
      <w:r>
        <w:rPr/>
        <w:t xml:space="preserve">بمصر شرف الدين أبو المكارم يعرف بابن عين الدولة من بيت علم وقضاء، ولد سنة إحدى وخمسين خمسمائة، ومات سنة تسع وثلاثين وستمائة، ومن شعره:</w:t>
      </w:r>
    </w:p>
    <w:p/>
    <w:p>
      <w:pPr>
        <w:jc w:val="center"/>
      </w:pPr>
      <w:r>
        <w:rPr>
          <w:color w:val="ff0000"/>
        </w:rPr>
        <w:t xml:space="preserve">وُلِيتُ القَضَاءَ ولَيْتَ القضاء</w:t>
      </w:r>
      <w:r>
        <w:rPr>
          <w:color w:val="ff0000"/>
        </w:rPr>
        <w:t xml:space="preserve">      </w:t>
      </w:r>
      <w:r>
        <w:rPr>
          <w:color w:val="ff0000"/>
        </w:rPr>
        <w:t xml:space="preserve">لم يَكُ شيئاً توليته</w:t>
      </w:r>
    </w:p>
    <w:p/>
    <w:p>
      <w:pPr>
        <w:jc w:val="center"/>
      </w:pPr>
      <w:r>
        <w:rPr>
          <w:color w:val="ff0000"/>
        </w:rPr>
        <w:t xml:space="preserve">وما وقعنى في القضاء إلَّا القضاء</w:t>
      </w:r>
      <w:r>
        <w:rPr>
          <w:color w:val="ff0000"/>
        </w:rPr>
        <w:t xml:space="preserve">      </w:t>
      </w:r>
      <w:r>
        <w:rPr>
          <w:color w:val="ff0000"/>
        </w:rPr>
        <w:t xml:space="preserve">وما كنت قِدْماً تمنيته’’.</w:t>
      </w:r>
    </w:p>
    <w:p/>
    <w:p>
      <w:pPr/>
      <w:r>
        <w:rPr/>
        <w:t xml:space="preserve">تفقه على العراقي شارح المهذب، وحفظ المهذب وكتب لقاضي القضاة درباس وغيره، ثم ناب عنه في القضاء سنة أربع وثمانين فلما عزل العماد بن السكرى تولى القاهرة والوجه البحرى، وتاج الدين بن الخراط مصر والوجه القبلى، ثم صرف ابن الخراط ابن عين الدولة وجها له سنة سبع عشرة وستمائة، وتولى الإسكندرية من أقاربه ثمانين أنفس، وولده محيى الدين عبد اللَّه ولد سنة سبع وتسعين وخمسمائة، وتولَّى فضاء مصر والوجه القبلى، وأعطى ابن رزين القاهرة والوجه البحري لما مات ابن بنت الأعز سنة خمس وستين، مات محيى الدين بمصر في رجب سنة ثمان وسبعين.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2026-08-05T18:17:44+03:00</dcterms:created>
  <dcterms:modified xsi:type="dcterms:W3CDTF">2026-08-05T18:17:44+03:00</dcterms:modified>
</cp:coreProperties>
</file>

<file path=docProps/custom.xml><?xml version="1.0" encoding="utf-8"?>
<Properties xmlns="http://schemas.openxmlformats.org/officeDocument/2006/custom-properties" xmlns:vt="http://schemas.openxmlformats.org/officeDocument/2006/docPropsVTypes"/>
</file>