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الشهاب محمد بن خلف بن راجح القاضي نجم الدين أبو العباس المقدسى الحنبلى ثم الشافعي.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الشهاب محمد بن خلف بن راجح القاضي نجم الدين أبو العباس المقدسى الحنبلى ثم الشافعي.
</w:t>
      </w:r>
    </w:p>
    <w:p>
      <w:pPr/>
      <w:r>
        <w:rPr/>
        <w:t xml:space="preserve">أحمد بن الشهاب محمد بن خلف بن راجح القاضي نجم الدين أبو العباس المقدسى الحنبلى ثم الشافعي. </w:t>
      </w:r>
    </w:p>
    <w:p/>
    <w:p>
      <w:pPr/>
      <w:r>
        <w:rPr/>
        <w:t xml:space="preserve">كان يحفظ الجمع للحميدى صنف في الخلاف وغيره، وكان إماماً صالحاً، مات سنة ثمان وثلاثين وستمائة، وكان مولده سنة ثمان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2026-08-05T17:17:55+03:00</dcterms:created>
  <dcterms:modified xsi:type="dcterms:W3CDTF">2026-08-05T17:17:55+03:00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