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الفقيه أبي المنصور فتح بن محمد بن خلف السعدي أبو عبد اللَّه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الفقيه أبي المنصور فتح بن محمد بن خلف السعدي أبو عبد اللَّه الدمياطي
</w:t>
      </w:r>
    </w:p>
    <w:p>
      <w:pPr/>
      <w:r>
        <w:rPr/>
        <w:t xml:space="preserve">محمد بن الفقيه أبي المنصور فتح بن محمد بن خلف السعدي أبو عبد اللَّه الدمياطي </w:t>
      </w:r>
    </w:p>
    <w:p/>
    <w:p>
      <w:pPr/>
      <w:r>
        <w:rPr/>
        <w:t xml:space="preserve">الكاتب في ديوان الإنشاء للملك الكامل، سمع السلفي، وعنه المنذري وغيره، مات سنة إحدى وعشرين وستمائة، وسيأتي ذكر والده في الذيل إن شاء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2026-08-05T17:17:27+03:00</dcterms:created>
  <dcterms:modified xsi:type="dcterms:W3CDTF">2026-08-05T17:17:27+03:00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