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أحمد فخر الدين أبو عبد اللَّه الفارسي
</w:t>
      </w:r>
    </w:p>
    <w:p>
      <w:pPr>
        <w:jc w:val="start"/>
        <w:bidi/>
      </w:pPr>
      <w:r>
        <w:rPr>
          <w:rFonts w:ascii="arial" w:hAnsi="arial" w:eastAsia="arial" w:cs="arial"/>
          <w:sz w:val="28"/>
          <w:szCs w:val="28"/>
          <w:b w:val="1"/>
          <w:bCs w:val="1"/>
          <w:rtl/>
        </w:rPr>
        <w:t xml:space="preserve">محمد بن إبراهيم بن أحمد فخر الدين أبو عبد اللَّه الفارسي
</w:t>
      </w:r>
    </w:p>
    <w:p>
      <w:pPr/>
      <w:r>
        <w:rPr/>
        <w:t xml:space="preserve">محمد بن إبراهيم بن أحمد فخر الدين أبو عبد اللَّه الفارسي </w:t>
      </w:r>
    </w:p>
    <w:p/>
    <w:p>
      <w:pPr/>
      <w:r>
        <w:rPr/>
        <w:t xml:space="preserve">الشيرازي الصوفى، سمع السلفى وابن عساكر، وعنه المنذري والأبرقوهي وغيرهما، وله مصنفات منها ’’مطية النقل وعطية العقل’’ في الأصول والكلام، وكانت له رياضة ومعاملة إلا أنه كان دعَّابة بذئ اللسان كثير الوقيعة في الناس لمن عرف ولمن لم يعرف، كثير الجرأة لا يفكر فيما يقول، بنى زاوية بالقرافة بمعبد ذي النون، ومات بها سنة اثنين وعشرين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2026-08-05T16:29:20+03:00</dcterms:created>
  <dcterms:modified xsi:type="dcterms:W3CDTF">2026-08-05T16:29:20+03:00</dcterms:modified>
</cp:coreProperties>
</file>

<file path=docProps/custom.xml><?xml version="1.0" encoding="utf-8"?>
<Properties xmlns="http://schemas.openxmlformats.org/officeDocument/2006/custom-properties" xmlns:vt="http://schemas.openxmlformats.org/officeDocument/2006/docPropsVTypes"/>
</file>