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اليسر شاكر بن عبد اللَّه بهاء الدين أبو إسحاق التنوخى المغربي ثم الدمشقى الخطيب.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اليسر شاكر بن عبد اللَّه بهاء الدين أبو إسحاق التنوخى المغربي ثم الدمشقى الخطيب.
</w:t>
      </w:r>
    </w:p>
    <w:p>
      <w:pPr/>
      <w:r>
        <w:rPr/>
        <w:t xml:space="preserve">إبراهيم بن أبي اليسر شاكر بن عبد اللَّه بهاء الدين أبو إسحاق التنوخى المغربي ثم الدمشقى الخطيب. </w:t>
      </w:r>
    </w:p>
    <w:p/>
    <w:p>
      <w:pPr/>
      <w:r>
        <w:rPr/>
        <w:t xml:space="preserve">تفقه على الخطيب ضياء الدين الدولعي فبرع ودرس وحدث وروى عن أبيه وغيره، وروى عنه المنذري وغيره، ولى قضاء المعز وهو ابن خمس وعشرين فأقام بها خمس سنين وله:</w:t>
      </w:r>
    </w:p>
    <w:p/>
    <w:p>
      <w:pPr>
        <w:jc w:val="center"/>
      </w:pPr>
      <w:r>
        <w:rPr>
          <w:color w:val="ff0000"/>
        </w:rPr>
        <w:t xml:space="preserve">وليت الحكم خمساً هن خمسُ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لعمرى والصبا في العنفوان</w:t>
      </w:r>
    </w:p>
    <w:p/>
    <w:p>
      <w:pPr>
        <w:jc w:val="center"/>
      </w:pPr>
      <w:r>
        <w:rPr>
          <w:color w:val="ff0000"/>
        </w:rPr>
        <w:t xml:space="preserve">فلم يضع الأعادى قدر شأنى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قالوا فلان قدر شأنى’’.</w:t>
      </w:r>
    </w:p>
    <w:p/>
    <w:p>
      <w:pPr/>
      <w:r>
        <w:rPr/>
        <w:t xml:space="preserve">وتكلم فيه عمر بن الحاجب وقال: كان فيه مرارة وفحش. وكان قد ترك الفقه واشتغل بغيره ولم يكن محمود السيرة كذا قال، مات سنة 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2026-08-05T17:35:56+03:00</dcterms:created>
  <dcterms:modified xsi:type="dcterms:W3CDTF">2026-08-05T17:35:56+03:00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